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D68" w:rsidRDefault="005F1826">
      <w:pPr>
        <w:spacing w:after="214" w:line="259" w:lineRule="auto"/>
        <w:ind w:right="0" w:firstLine="0"/>
        <w:jc w:val="left"/>
      </w:pPr>
      <w:r>
        <w:rPr>
          <w:rFonts w:ascii="Calibri" w:eastAsia="Calibri" w:hAnsi="Calibri" w:cs="Calibri"/>
          <w:sz w:val="22"/>
        </w:rPr>
        <w:t xml:space="preserve"> </w:t>
      </w:r>
    </w:p>
    <w:p w:rsidR="00467D68" w:rsidRDefault="005F1826">
      <w:pPr>
        <w:spacing w:after="151" w:line="259" w:lineRule="auto"/>
        <w:ind w:right="1" w:firstLine="0"/>
        <w:jc w:val="center"/>
      </w:pPr>
      <w:r>
        <w:rPr>
          <w:b/>
        </w:rPr>
        <w:t xml:space="preserve">GEREKÇE </w:t>
      </w:r>
    </w:p>
    <w:p w:rsidR="00467D68" w:rsidRDefault="005F1826">
      <w:pPr>
        <w:spacing w:after="203" w:line="259" w:lineRule="auto"/>
        <w:ind w:right="0" w:firstLine="0"/>
        <w:jc w:val="left"/>
      </w:pPr>
      <w:r>
        <w:t xml:space="preserve"> </w:t>
      </w:r>
    </w:p>
    <w:p w:rsidR="00467D68" w:rsidRDefault="005F1826">
      <w:pPr>
        <w:ind w:left="-15" w:right="0"/>
      </w:pPr>
      <w:r>
        <w:t xml:space="preserve">Türkiye ile AB arasında oluşturulan Gümrük Birliği uyarınca Türkiye AB’nin ticarette teknik engellerin kaldırılmasına dair mevzuatını uyumlaştırmakta ve böylelikle ülkemizde ürün güvenliği sistemi güçlenmektedir. </w:t>
      </w:r>
    </w:p>
    <w:p w:rsidR="00467D68" w:rsidRDefault="005F1826">
      <w:pPr>
        <w:spacing w:after="0" w:line="259" w:lineRule="auto"/>
        <w:ind w:left="706" w:right="0" w:firstLine="0"/>
        <w:jc w:val="left"/>
      </w:pPr>
      <w:r>
        <w:t xml:space="preserve"> </w:t>
      </w:r>
    </w:p>
    <w:p w:rsidR="00467D68" w:rsidRDefault="005F1826">
      <w:pPr>
        <w:ind w:left="-15" w:right="0"/>
      </w:pPr>
      <w:r>
        <w:t xml:space="preserve">Bu kapsamda 2002 yılında yürürlüğe giren 4703 sayılı Kanun ile bu Kanuna dayanılarak çıkarılan uygulama mevzuatı ile ülkemizde ürün güvenliğine ilişkin temel altyapı oluşturulmuştur. Ürün güvenliği sistemin önemli unsurlarından olan uygunluk değerlendirme </w:t>
      </w:r>
      <w:r>
        <w:t>faaliyetleri ve uygunluk değerlendirme işaretleri de ilk kez 4703 sayılı Kanunun uygulama yönetmelikleri olan “Uygunluk Değerlendirme Kuruluşları ile Onaylanmış Kuruluşlara Dair Yönetmelik” ve “CE Uygunluk İşaretinin Ürüne İliştirilmesine ve Kullanılmasına</w:t>
      </w:r>
      <w:r>
        <w:t xml:space="preserve"> Dair Yönetmelik” ile 2002 yılında AB sistemi ile tam uyumlu olarak ülkemiz ürün güvenliği sistemine </w:t>
      </w:r>
      <w:proofErr w:type="gramStart"/>
      <w:r>
        <w:t>dahil</w:t>
      </w:r>
      <w:proofErr w:type="gramEnd"/>
      <w:r>
        <w:t xml:space="preserve"> edilmiştir. </w:t>
      </w:r>
    </w:p>
    <w:p w:rsidR="00467D68" w:rsidRDefault="005F1826">
      <w:pPr>
        <w:spacing w:after="0" w:line="259" w:lineRule="auto"/>
        <w:ind w:left="706" w:right="0" w:firstLine="0"/>
        <w:jc w:val="left"/>
      </w:pPr>
      <w:r>
        <w:t xml:space="preserve"> </w:t>
      </w:r>
    </w:p>
    <w:p w:rsidR="00467D68" w:rsidRDefault="005F1826">
      <w:pPr>
        <w:ind w:left="-15" w:right="0"/>
      </w:pPr>
      <w:r>
        <w:t>AB’nin bu alanda 2008 yılında yaptığı değişiklikler neticesinde 4703 sayılı Kanunun ve uygulama yönetmeliklerin güncellenmesi ihtiyacı</w:t>
      </w:r>
      <w:r>
        <w:t xml:space="preserve"> ortaya çıkmış ve bu kapsamda 2012 yılında yeni AB mevzuatı temel alınarak “Uygunluk Değerlendirme Kuruluşları ve Onaylanmış Kuruluşlar Yönetmeliği” ve “CE İşareti Yönetmeliği” yayımlanmıştır. </w:t>
      </w:r>
    </w:p>
    <w:p w:rsidR="00467D68" w:rsidRDefault="005F1826">
      <w:pPr>
        <w:spacing w:after="22" w:line="259" w:lineRule="auto"/>
        <w:ind w:right="0" w:firstLine="0"/>
        <w:jc w:val="left"/>
      </w:pPr>
      <w:r>
        <w:t xml:space="preserve"> </w:t>
      </w:r>
    </w:p>
    <w:p w:rsidR="00467D68" w:rsidRDefault="005F1826">
      <w:pPr>
        <w:ind w:left="-15" w:right="0"/>
      </w:pPr>
      <w:r>
        <w:t xml:space="preserve">4703 sayılı Kanunun yerine geçmek üzere hazırlanan 5/3/2020 </w:t>
      </w:r>
      <w:r>
        <w:t xml:space="preserve">tarihli ve 7223 sayılı “Ürün Güvenliği </w:t>
      </w:r>
      <w:proofErr w:type="spellStart"/>
      <w:r>
        <w:t>Kanunu”nun</w:t>
      </w:r>
      <w:proofErr w:type="spellEnd"/>
      <w:r>
        <w:t xml:space="preserve"> yasalaşması ile bahse </w:t>
      </w:r>
      <w:r>
        <w:t xml:space="preserve">konu yönetmeliklerin Kanuna uygun olarak yeniden güncellenmesi ihtiyacı doğmuştur. Bu amaçla, “Uygunluk Değerlendirme Kuruluşları ve Onaylanmış Kuruluşlar Yönetmeliği” ve “CE İşareti Yönetmeliği” </w:t>
      </w:r>
      <w:proofErr w:type="spellStart"/>
      <w:r>
        <w:t>nin</w:t>
      </w:r>
      <w:proofErr w:type="spellEnd"/>
      <w:r>
        <w:t xml:space="preserve"> yerine geçmek üzere “Uygunluk Değerlendirme Kuruluşları ve Onaylanmış Kuruluşlar Yönetmeliği” ve “CE İşareti ve Diğer Uygunluk İşaretleri Yönetmeliği” </w:t>
      </w:r>
      <w:r>
        <w:t xml:space="preserve">hazırlanmıştır.  </w:t>
      </w:r>
    </w:p>
    <w:p w:rsidR="00467D68" w:rsidRDefault="005F1826">
      <w:pPr>
        <w:spacing w:after="0" w:line="259" w:lineRule="auto"/>
        <w:ind w:left="706" w:right="0" w:firstLine="0"/>
        <w:jc w:val="left"/>
      </w:pPr>
      <w:r>
        <w:t xml:space="preserve"> </w:t>
      </w:r>
      <w:bookmarkStart w:id="0" w:name="_GoBack"/>
      <w:bookmarkEnd w:id="0"/>
    </w:p>
    <w:p w:rsidR="00467D68" w:rsidRDefault="005F1826">
      <w:pPr>
        <w:ind w:left="706" w:right="0" w:firstLine="0"/>
      </w:pPr>
      <w:r>
        <w:t xml:space="preserve">Arz ederim. </w:t>
      </w:r>
    </w:p>
    <w:p w:rsidR="00467D68" w:rsidRDefault="005F1826">
      <w:pPr>
        <w:spacing w:after="0" w:line="259" w:lineRule="auto"/>
        <w:ind w:left="706" w:right="0" w:firstLine="0"/>
        <w:jc w:val="left"/>
      </w:pPr>
      <w:r>
        <w:t xml:space="preserve"> </w:t>
      </w:r>
    </w:p>
    <w:p w:rsidR="00467D68" w:rsidRDefault="005F1826">
      <w:pPr>
        <w:spacing w:after="0" w:line="259" w:lineRule="auto"/>
        <w:ind w:left="706" w:right="0" w:firstLine="0"/>
        <w:jc w:val="left"/>
      </w:pPr>
      <w:r>
        <w:t xml:space="preserve"> </w:t>
      </w:r>
    </w:p>
    <w:p w:rsidR="00467D68" w:rsidRDefault="005F1826">
      <w:pPr>
        <w:spacing w:after="0" w:line="259" w:lineRule="auto"/>
        <w:ind w:right="0" w:firstLine="0"/>
        <w:jc w:val="left"/>
      </w:pPr>
      <w:r>
        <w:rPr>
          <w:rFonts w:ascii="Calibri" w:eastAsia="Calibri" w:hAnsi="Calibri" w:cs="Calibri"/>
          <w:sz w:val="22"/>
        </w:rPr>
        <w:t xml:space="preserve"> </w:t>
      </w:r>
    </w:p>
    <w:sectPr w:rsidR="00467D68">
      <w:pgSz w:w="11904" w:h="16838"/>
      <w:pgMar w:top="1440" w:right="1410"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68"/>
    <w:rsid w:val="00467D68"/>
    <w:rsid w:val="005F1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68E8"/>
  <w15:docId w15:val="{5D673ACA-235C-4CCD-B4FA-6FCC20E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right="3" w:firstLine="696"/>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GÖK</dc:creator>
  <cp:keywords/>
  <cp:lastModifiedBy>Elif GÖK</cp:lastModifiedBy>
  <cp:revision>2</cp:revision>
  <cp:lastPrinted>2020-07-10T07:46:00Z</cp:lastPrinted>
  <dcterms:created xsi:type="dcterms:W3CDTF">2020-07-10T07:46:00Z</dcterms:created>
  <dcterms:modified xsi:type="dcterms:W3CDTF">2020-07-10T07:46:00Z</dcterms:modified>
</cp:coreProperties>
</file>